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AEFB" w14:textId="77777777" w:rsidR="000E3D1F" w:rsidRPr="00DC3E10" w:rsidRDefault="000E3D1F" w:rsidP="000E3D1F">
      <w:pPr>
        <w:jc w:val="center"/>
      </w:pPr>
      <w:r w:rsidRPr="00DC3E10">
        <w:t>Refrigeration Air Conditioning and Heat Pump Engineering Technician (Level 3)</w:t>
      </w:r>
    </w:p>
    <w:p w14:paraId="516DC78C" w14:textId="4DF4FF3F" w:rsidR="000E3D1F" w:rsidRDefault="000E3D1F" w:rsidP="000E3D1F">
      <w:pPr>
        <w:pStyle w:val="Default"/>
        <w:jc w:val="center"/>
        <w:rPr>
          <w:b/>
          <w:bCs/>
          <w:color w:val="006FC0"/>
          <w:szCs w:val="22"/>
        </w:rPr>
      </w:pPr>
      <w:r>
        <w:rPr>
          <w:b/>
          <w:bCs/>
          <w:color w:val="006FC0"/>
          <w:szCs w:val="22"/>
        </w:rPr>
        <w:t>Standard and Assessment Plan for the Apprenticeship (trailblazer)</w:t>
      </w:r>
    </w:p>
    <w:p w14:paraId="1B517DAD" w14:textId="074289EE" w:rsidR="000E3D1F" w:rsidRPr="000E3D1F" w:rsidRDefault="000E3D1F" w:rsidP="000E3D1F">
      <w:pPr>
        <w:pStyle w:val="Default"/>
        <w:rPr>
          <w:color w:val="auto"/>
          <w:szCs w:val="22"/>
        </w:rPr>
      </w:pPr>
    </w:p>
    <w:p w14:paraId="7EB30BC9" w14:textId="7301213E" w:rsidR="000E3D1F" w:rsidRPr="00AC2522" w:rsidRDefault="000E3D1F" w:rsidP="000E3D1F">
      <w:pPr>
        <w:pStyle w:val="Default"/>
        <w:rPr>
          <w:color w:val="auto"/>
          <w:sz w:val="20"/>
          <w:szCs w:val="18"/>
        </w:rPr>
      </w:pPr>
      <w:r w:rsidRPr="00AC2522">
        <w:rPr>
          <w:color w:val="auto"/>
          <w:sz w:val="20"/>
          <w:szCs w:val="18"/>
        </w:rPr>
        <w:t>The Occupational Standard and Assessment Plan set the requirements for the current government funded Apprenticeship at Level 3 and are aligned to the Engineering Council requirements for Engineering Technician. The Standard and Assessment Plan were originally approved in 2015 and have been subject to a review by a Steering Group of employers and specialist trainers during 2021 with support from the Institute of Refrigeration, the professional body for the sector.  The documents follow the mandatory requirements of Government funded Apprenticeship programmes.</w:t>
      </w:r>
    </w:p>
    <w:p w14:paraId="6E6C4F70" w14:textId="4C305D8B" w:rsidR="000E3D1F" w:rsidRPr="00AC2522" w:rsidRDefault="000E3D1F" w:rsidP="000E3D1F">
      <w:pPr>
        <w:pStyle w:val="Default"/>
        <w:rPr>
          <w:color w:val="auto"/>
          <w:sz w:val="20"/>
          <w:szCs w:val="18"/>
        </w:rPr>
      </w:pPr>
    </w:p>
    <w:p w14:paraId="76818006" w14:textId="4C6352B3" w:rsidR="000E3D1F" w:rsidRPr="00AC2522" w:rsidRDefault="000E3D1F" w:rsidP="000E3D1F">
      <w:pPr>
        <w:pStyle w:val="Default"/>
        <w:rPr>
          <w:color w:val="auto"/>
          <w:sz w:val="20"/>
          <w:szCs w:val="18"/>
        </w:rPr>
      </w:pPr>
      <w:r w:rsidRPr="00AC2522">
        <w:rPr>
          <w:color w:val="auto"/>
          <w:sz w:val="20"/>
          <w:szCs w:val="18"/>
        </w:rPr>
        <w:t xml:space="preserve">Input from employers is now sought on the proposed changes as part of a wider industry consultation. The documents showing changes are available for download at </w:t>
      </w:r>
      <w:hyperlink r:id="rId4" w:history="1">
        <w:r w:rsidRPr="00AC2522">
          <w:rPr>
            <w:rStyle w:val="Hyperlink"/>
            <w:sz w:val="20"/>
            <w:szCs w:val="18"/>
          </w:rPr>
          <w:t>www.ior.org.uk/apprenticeship-review</w:t>
        </w:r>
      </w:hyperlink>
      <w:r w:rsidRPr="00AC2522">
        <w:rPr>
          <w:color w:val="auto"/>
          <w:sz w:val="20"/>
          <w:szCs w:val="18"/>
        </w:rPr>
        <w:t>.  The deadline for consultation is 15th December 2021</w:t>
      </w:r>
      <w:r w:rsidR="00AC2522" w:rsidRPr="00AC2522">
        <w:rPr>
          <w:color w:val="auto"/>
          <w:sz w:val="20"/>
          <w:szCs w:val="18"/>
        </w:rPr>
        <w:t xml:space="preserve">. The form should be returned to </w:t>
      </w:r>
      <w:hyperlink r:id="rId5" w:history="1">
        <w:r w:rsidR="00AC2522" w:rsidRPr="00AC2522">
          <w:rPr>
            <w:rStyle w:val="Hyperlink"/>
            <w:sz w:val="20"/>
            <w:szCs w:val="18"/>
          </w:rPr>
          <w:t>miriam@ior.org.uk</w:t>
        </w:r>
      </w:hyperlink>
      <w:r w:rsidR="00AC2522" w:rsidRPr="00AC2522">
        <w:rPr>
          <w:color w:val="auto"/>
          <w:sz w:val="20"/>
          <w:szCs w:val="18"/>
        </w:rPr>
        <w:t xml:space="preserve"> </w:t>
      </w:r>
    </w:p>
    <w:p w14:paraId="3AC347AA" w14:textId="70A10B6A" w:rsidR="000E3D1F" w:rsidRPr="000E3D1F" w:rsidRDefault="000E3D1F" w:rsidP="000E3D1F">
      <w:pPr>
        <w:pStyle w:val="Default"/>
        <w:jc w:val="center"/>
        <w:rPr>
          <w:b/>
          <w:bCs/>
          <w:color w:val="auto"/>
          <w:szCs w:val="22"/>
        </w:rPr>
      </w:pPr>
    </w:p>
    <w:p w14:paraId="6D3FC65C" w14:textId="55CAF682" w:rsidR="000E3D1F" w:rsidRPr="000E3D1F" w:rsidRDefault="00AC2522" w:rsidP="000E3D1F">
      <w:pPr>
        <w:pStyle w:val="Default"/>
        <w:jc w:val="center"/>
        <w:rPr>
          <w:b/>
          <w:bCs/>
          <w:color w:val="auto"/>
          <w:szCs w:val="22"/>
        </w:rPr>
      </w:pPr>
      <w:r>
        <w:rPr>
          <w:b/>
          <w:bCs/>
          <w:color w:val="auto"/>
          <w:szCs w:val="22"/>
        </w:rPr>
        <w:t xml:space="preserve">Review </w:t>
      </w:r>
      <w:r w:rsidR="000E3D1F" w:rsidRPr="000E3D1F">
        <w:rPr>
          <w:b/>
          <w:bCs/>
          <w:color w:val="auto"/>
          <w:szCs w:val="22"/>
        </w:rPr>
        <w:t>Comment Form</w:t>
      </w:r>
    </w:p>
    <w:p w14:paraId="6EAF0D14" w14:textId="77777777" w:rsidR="000E3D1F" w:rsidRPr="000E3D1F" w:rsidRDefault="000E3D1F" w:rsidP="000E3D1F">
      <w:pPr>
        <w:pStyle w:val="Default"/>
        <w:rPr>
          <w:b/>
          <w:bCs/>
          <w:color w:val="auto"/>
          <w:szCs w:val="22"/>
        </w:rPr>
      </w:pPr>
      <w:r w:rsidRPr="000E3D1F">
        <w:rPr>
          <w:b/>
          <w:bCs/>
          <w:color w:val="auto"/>
          <w:szCs w:val="22"/>
        </w:rPr>
        <w:t>Section 1</w:t>
      </w:r>
    </w:p>
    <w:tbl>
      <w:tblPr>
        <w:tblStyle w:val="TableGrid"/>
        <w:tblW w:w="9351" w:type="dxa"/>
        <w:tblLook w:val="04A0" w:firstRow="1" w:lastRow="0" w:firstColumn="1" w:lastColumn="0" w:noHBand="0" w:noVBand="1"/>
      </w:tblPr>
      <w:tblGrid>
        <w:gridCol w:w="9351"/>
      </w:tblGrid>
      <w:tr w:rsidR="000E3D1F" w:rsidRPr="000E3D1F" w14:paraId="2D02CA8C" w14:textId="77777777" w:rsidTr="00AC2522">
        <w:tc>
          <w:tcPr>
            <w:tcW w:w="9351" w:type="dxa"/>
          </w:tcPr>
          <w:p w14:paraId="16AAAEDB" w14:textId="77777777" w:rsidR="000E3D1F" w:rsidRPr="000E3D1F" w:rsidRDefault="000E3D1F" w:rsidP="00662758">
            <w:pPr>
              <w:pStyle w:val="Default"/>
              <w:rPr>
                <w:color w:val="auto"/>
                <w:szCs w:val="22"/>
              </w:rPr>
            </w:pPr>
            <w:r w:rsidRPr="000E3D1F">
              <w:rPr>
                <w:color w:val="auto"/>
                <w:szCs w:val="22"/>
              </w:rPr>
              <w:t>Your name:</w:t>
            </w:r>
          </w:p>
        </w:tc>
      </w:tr>
      <w:tr w:rsidR="000E3D1F" w:rsidRPr="000E3D1F" w14:paraId="14B5AB4F" w14:textId="77777777" w:rsidTr="00AC2522">
        <w:tc>
          <w:tcPr>
            <w:tcW w:w="9351" w:type="dxa"/>
          </w:tcPr>
          <w:p w14:paraId="5F211F2B" w14:textId="77777777" w:rsidR="000E3D1F" w:rsidRPr="000E3D1F" w:rsidRDefault="000E3D1F" w:rsidP="00662758">
            <w:pPr>
              <w:pStyle w:val="Default"/>
              <w:rPr>
                <w:color w:val="auto"/>
                <w:szCs w:val="22"/>
              </w:rPr>
            </w:pPr>
            <w:r w:rsidRPr="000E3D1F">
              <w:rPr>
                <w:color w:val="auto"/>
                <w:szCs w:val="22"/>
              </w:rPr>
              <w:t>Email address:</w:t>
            </w:r>
          </w:p>
        </w:tc>
      </w:tr>
      <w:tr w:rsidR="000E3D1F" w:rsidRPr="000E3D1F" w14:paraId="127DC56E" w14:textId="77777777" w:rsidTr="00AC2522">
        <w:tc>
          <w:tcPr>
            <w:tcW w:w="9351" w:type="dxa"/>
          </w:tcPr>
          <w:p w14:paraId="1879C4C0" w14:textId="77777777" w:rsidR="000E3D1F" w:rsidRPr="000E3D1F" w:rsidRDefault="000E3D1F" w:rsidP="00662758">
            <w:pPr>
              <w:pStyle w:val="Default"/>
              <w:rPr>
                <w:color w:val="auto"/>
                <w:szCs w:val="22"/>
              </w:rPr>
            </w:pPr>
            <w:r w:rsidRPr="000E3D1F">
              <w:rPr>
                <w:color w:val="auto"/>
                <w:szCs w:val="22"/>
              </w:rPr>
              <w:t>Employer:</w:t>
            </w:r>
          </w:p>
        </w:tc>
      </w:tr>
    </w:tbl>
    <w:p w14:paraId="238B4B1B" w14:textId="31CD12E4" w:rsidR="000E3D1F" w:rsidRDefault="000E3D1F" w:rsidP="000E3D1F">
      <w:pPr>
        <w:pStyle w:val="Default"/>
        <w:rPr>
          <w:color w:val="auto"/>
          <w:szCs w:val="22"/>
        </w:rPr>
      </w:pPr>
    </w:p>
    <w:p w14:paraId="235A84A1" w14:textId="24FC8616" w:rsidR="000E3D1F" w:rsidRPr="000E3D1F" w:rsidRDefault="000E3D1F" w:rsidP="000E3D1F">
      <w:pPr>
        <w:pStyle w:val="Default"/>
        <w:rPr>
          <w:b/>
          <w:bCs/>
          <w:color w:val="auto"/>
          <w:szCs w:val="22"/>
        </w:rPr>
      </w:pPr>
      <w:r w:rsidRPr="000E3D1F">
        <w:rPr>
          <w:b/>
          <w:bCs/>
          <w:color w:val="auto"/>
          <w:szCs w:val="22"/>
        </w:rPr>
        <w:t>Section 2:</w:t>
      </w:r>
      <w:r w:rsidR="006B13D9">
        <w:rPr>
          <w:b/>
          <w:bCs/>
          <w:color w:val="auto"/>
          <w:szCs w:val="22"/>
        </w:rPr>
        <w:t xml:space="preserve">                                    </w:t>
      </w:r>
      <w:r w:rsidR="006B13D9" w:rsidRPr="006B13D9">
        <w:rPr>
          <w:color w:val="auto"/>
          <w:sz w:val="18"/>
          <w:szCs w:val="16"/>
        </w:rPr>
        <w:t>(ST = Standard    AP = Assessment Plan)</w:t>
      </w:r>
    </w:p>
    <w:tbl>
      <w:tblPr>
        <w:tblStyle w:val="TableGrid"/>
        <w:tblW w:w="9351" w:type="dxa"/>
        <w:tblLook w:val="04A0" w:firstRow="1" w:lastRow="0" w:firstColumn="1" w:lastColumn="0" w:noHBand="0" w:noVBand="1"/>
      </w:tblPr>
      <w:tblGrid>
        <w:gridCol w:w="3005"/>
        <w:gridCol w:w="1243"/>
        <w:gridCol w:w="5103"/>
      </w:tblGrid>
      <w:tr w:rsidR="000E3D1F" w:rsidRPr="00FF7A69" w14:paraId="22425444" w14:textId="77777777" w:rsidTr="00AC2522">
        <w:tc>
          <w:tcPr>
            <w:tcW w:w="3005" w:type="dxa"/>
          </w:tcPr>
          <w:p w14:paraId="2BF349FE" w14:textId="1AEB50F4" w:rsidR="000E3D1F" w:rsidRPr="00FF7A69" w:rsidRDefault="000E3D1F" w:rsidP="000E3D1F">
            <w:pPr>
              <w:pStyle w:val="Default"/>
              <w:rPr>
                <w:b/>
                <w:bCs/>
                <w:color w:val="auto"/>
                <w:sz w:val="20"/>
                <w:szCs w:val="20"/>
              </w:rPr>
            </w:pPr>
            <w:r w:rsidRPr="00FF7A69">
              <w:rPr>
                <w:b/>
                <w:bCs/>
                <w:color w:val="auto"/>
                <w:sz w:val="20"/>
                <w:szCs w:val="20"/>
              </w:rPr>
              <w:t>Proposed change</w:t>
            </w:r>
          </w:p>
        </w:tc>
        <w:tc>
          <w:tcPr>
            <w:tcW w:w="1243" w:type="dxa"/>
          </w:tcPr>
          <w:p w14:paraId="2F6A63BA" w14:textId="32A0ED52" w:rsidR="000E3D1F" w:rsidRPr="00FF7A69" w:rsidRDefault="000E3D1F" w:rsidP="000E3D1F">
            <w:pPr>
              <w:pStyle w:val="Default"/>
              <w:rPr>
                <w:b/>
                <w:bCs/>
                <w:color w:val="auto"/>
                <w:sz w:val="20"/>
                <w:szCs w:val="20"/>
              </w:rPr>
            </w:pPr>
            <w:r w:rsidRPr="00FF7A69">
              <w:rPr>
                <w:b/>
                <w:bCs/>
                <w:color w:val="auto"/>
                <w:sz w:val="20"/>
                <w:szCs w:val="20"/>
              </w:rPr>
              <w:t>Document reference</w:t>
            </w:r>
          </w:p>
        </w:tc>
        <w:tc>
          <w:tcPr>
            <w:tcW w:w="5103" w:type="dxa"/>
          </w:tcPr>
          <w:p w14:paraId="1F8090DE" w14:textId="62319AD9" w:rsidR="000E3D1F" w:rsidRPr="00FF7A69" w:rsidRDefault="00FF7A69" w:rsidP="000E3D1F">
            <w:pPr>
              <w:pStyle w:val="Default"/>
              <w:rPr>
                <w:b/>
                <w:bCs/>
                <w:color w:val="auto"/>
                <w:sz w:val="20"/>
                <w:szCs w:val="20"/>
              </w:rPr>
            </w:pPr>
            <w:r>
              <w:rPr>
                <w:b/>
                <w:bCs/>
                <w:color w:val="auto"/>
                <w:sz w:val="20"/>
                <w:szCs w:val="20"/>
              </w:rPr>
              <w:t xml:space="preserve">Your </w:t>
            </w:r>
            <w:r w:rsidR="000E3D1F" w:rsidRPr="00FF7A69">
              <w:rPr>
                <w:b/>
                <w:bCs/>
                <w:color w:val="auto"/>
                <w:sz w:val="20"/>
                <w:szCs w:val="20"/>
              </w:rPr>
              <w:t>Comment</w:t>
            </w:r>
          </w:p>
        </w:tc>
      </w:tr>
      <w:tr w:rsidR="000E3D1F" w:rsidRPr="00FF7A69" w14:paraId="093E5A9B" w14:textId="77777777" w:rsidTr="00AC2522">
        <w:tc>
          <w:tcPr>
            <w:tcW w:w="3005" w:type="dxa"/>
          </w:tcPr>
          <w:p w14:paraId="65A77058" w14:textId="5CE5CF2B" w:rsidR="000E3D1F" w:rsidRPr="00FF7A69" w:rsidRDefault="00FF7A69" w:rsidP="000E3D1F">
            <w:pPr>
              <w:pStyle w:val="Default"/>
              <w:rPr>
                <w:color w:val="auto"/>
                <w:sz w:val="20"/>
                <w:szCs w:val="20"/>
              </w:rPr>
            </w:pPr>
            <w:r w:rsidRPr="00FF7A69">
              <w:rPr>
                <w:color w:val="auto"/>
                <w:sz w:val="20"/>
                <w:szCs w:val="20"/>
              </w:rPr>
              <w:t xml:space="preserve">Remove “design” as a key activity </w:t>
            </w:r>
            <w:r>
              <w:rPr>
                <w:color w:val="auto"/>
                <w:sz w:val="20"/>
                <w:szCs w:val="20"/>
              </w:rPr>
              <w:t>in Occupational Description (</w:t>
            </w:r>
            <w:proofErr w:type="spellStart"/>
            <w:r>
              <w:rPr>
                <w:color w:val="auto"/>
                <w:sz w:val="20"/>
                <w:szCs w:val="20"/>
              </w:rPr>
              <w:t>note:this</w:t>
            </w:r>
            <w:proofErr w:type="spellEnd"/>
            <w:r>
              <w:rPr>
                <w:color w:val="auto"/>
                <w:sz w:val="20"/>
                <w:szCs w:val="20"/>
              </w:rPr>
              <w:t xml:space="preserve"> is not assessed and will make no change to how the apprenticeship is delivered)</w:t>
            </w:r>
          </w:p>
        </w:tc>
        <w:tc>
          <w:tcPr>
            <w:tcW w:w="1243" w:type="dxa"/>
          </w:tcPr>
          <w:p w14:paraId="1BE3405B" w14:textId="354B9805" w:rsidR="006B13D9" w:rsidRDefault="006B13D9" w:rsidP="000E3D1F">
            <w:pPr>
              <w:pStyle w:val="Default"/>
              <w:rPr>
                <w:color w:val="auto"/>
                <w:sz w:val="20"/>
                <w:szCs w:val="20"/>
              </w:rPr>
            </w:pPr>
            <w:r>
              <w:rPr>
                <w:color w:val="auto"/>
                <w:sz w:val="20"/>
                <w:szCs w:val="20"/>
              </w:rPr>
              <w:t>ST</w:t>
            </w:r>
          </w:p>
          <w:p w14:paraId="638DD049" w14:textId="3331E321" w:rsidR="000E3D1F" w:rsidRPr="00FF7A69" w:rsidRDefault="00FF7A69" w:rsidP="000E3D1F">
            <w:pPr>
              <w:pStyle w:val="Default"/>
              <w:rPr>
                <w:color w:val="auto"/>
                <w:sz w:val="20"/>
                <w:szCs w:val="20"/>
              </w:rPr>
            </w:pPr>
            <w:r>
              <w:rPr>
                <w:color w:val="auto"/>
                <w:sz w:val="20"/>
                <w:szCs w:val="20"/>
              </w:rPr>
              <w:t xml:space="preserve"> page1</w:t>
            </w:r>
          </w:p>
        </w:tc>
        <w:tc>
          <w:tcPr>
            <w:tcW w:w="5103" w:type="dxa"/>
          </w:tcPr>
          <w:p w14:paraId="527C6513" w14:textId="77777777" w:rsidR="000E3D1F" w:rsidRPr="00FF7A69" w:rsidRDefault="000E3D1F" w:rsidP="000E3D1F">
            <w:pPr>
              <w:pStyle w:val="Default"/>
              <w:rPr>
                <w:color w:val="auto"/>
                <w:sz w:val="20"/>
                <w:szCs w:val="20"/>
              </w:rPr>
            </w:pPr>
          </w:p>
        </w:tc>
      </w:tr>
      <w:tr w:rsidR="000E3D1F" w:rsidRPr="00FF7A69" w14:paraId="447E8BCC" w14:textId="77777777" w:rsidTr="00AC2522">
        <w:tc>
          <w:tcPr>
            <w:tcW w:w="3005" w:type="dxa"/>
          </w:tcPr>
          <w:p w14:paraId="38269179" w14:textId="4125068B" w:rsidR="000E3D1F" w:rsidRPr="00FF7A69" w:rsidRDefault="00FF7A69" w:rsidP="000E3D1F">
            <w:pPr>
              <w:pStyle w:val="Default"/>
              <w:rPr>
                <w:color w:val="auto"/>
                <w:sz w:val="20"/>
                <w:szCs w:val="20"/>
              </w:rPr>
            </w:pPr>
            <w:r>
              <w:rPr>
                <w:color w:val="auto"/>
                <w:sz w:val="20"/>
                <w:szCs w:val="20"/>
              </w:rPr>
              <w:t>New section added “Occupational Duties” (note: new requirement)</w:t>
            </w:r>
          </w:p>
        </w:tc>
        <w:tc>
          <w:tcPr>
            <w:tcW w:w="1243" w:type="dxa"/>
          </w:tcPr>
          <w:p w14:paraId="3AA7AC65" w14:textId="2310CD06" w:rsidR="000E3D1F" w:rsidRPr="00FF7A69" w:rsidRDefault="00FF7A69" w:rsidP="000E3D1F">
            <w:pPr>
              <w:pStyle w:val="Default"/>
              <w:rPr>
                <w:color w:val="auto"/>
                <w:sz w:val="20"/>
                <w:szCs w:val="20"/>
              </w:rPr>
            </w:pPr>
            <w:r>
              <w:rPr>
                <w:color w:val="auto"/>
                <w:sz w:val="20"/>
                <w:szCs w:val="20"/>
              </w:rPr>
              <w:t>ST page 2</w:t>
            </w:r>
          </w:p>
        </w:tc>
        <w:tc>
          <w:tcPr>
            <w:tcW w:w="5103" w:type="dxa"/>
          </w:tcPr>
          <w:p w14:paraId="4D8D6593" w14:textId="77777777" w:rsidR="000E3D1F" w:rsidRPr="00FF7A69" w:rsidRDefault="000E3D1F" w:rsidP="000E3D1F">
            <w:pPr>
              <w:pStyle w:val="Default"/>
              <w:rPr>
                <w:color w:val="auto"/>
                <w:sz w:val="20"/>
                <w:szCs w:val="20"/>
              </w:rPr>
            </w:pPr>
          </w:p>
        </w:tc>
      </w:tr>
      <w:tr w:rsidR="000E3D1F" w:rsidRPr="00FF7A69" w14:paraId="75384B94" w14:textId="77777777" w:rsidTr="00AC2522">
        <w:tc>
          <w:tcPr>
            <w:tcW w:w="3005" w:type="dxa"/>
          </w:tcPr>
          <w:p w14:paraId="45C5F151" w14:textId="4445DEC7" w:rsidR="000E3D1F" w:rsidRPr="00FF7A69" w:rsidRDefault="00FF7A69" w:rsidP="000E3D1F">
            <w:pPr>
              <w:pStyle w:val="Default"/>
              <w:rPr>
                <w:color w:val="auto"/>
                <w:sz w:val="20"/>
                <w:szCs w:val="20"/>
              </w:rPr>
            </w:pPr>
            <w:r>
              <w:rPr>
                <w:color w:val="auto"/>
                <w:sz w:val="20"/>
                <w:szCs w:val="20"/>
              </w:rPr>
              <w:t>Minor changes to text to clarify descriptions of Knowledge / Skills / Behaviour (note: changes reflect a clarification of wording only)</w:t>
            </w:r>
          </w:p>
        </w:tc>
        <w:tc>
          <w:tcPr>
            <w:tcW w:w="1243" w:type="dxa"/>
          </w:tcPr>
          <w:p w14:paraId="55C792F5" w14:textId="5143739C" w:rsidR="000E3D1F" w:rsidRPr="00FF7A69" w:rsidRDefault="00FF7A69" w:rsidP="000E3D1F">
            <w:pPr>
              <w:pStyle w:val="Default"/>
              <w:rPr>
                <w:color w:val="auto"/>
                <w:sz w:val="20"/>
                <w:szCs w:val="20"/>
              </w:rPr>
            </w:pPr>
            <w:r>
              <w:rPr>
                <w:color w:val="auto"/>
                <w:sz w:val="20"/>
                <w:szCs w:val="20"/>
              </w:rPr>
              <w:t>ST pages 2/3/4</w:t>
            </w:r>
          </w:p>
        </w:tc>
        <w:tc>
          <w:tcPr>
            <w:tcW w:w="5103" w:type="dxa"/>
          </w:tcPr>
          <w:p w14:paraId="645D955F" w14:textId="77777777" w:rsidR="000E3D1F" w:rsidRPr="00FF7A69" w:rsidRDefault="000E3D1F" w:rsidP="000E3D1F">
            <w:pPr>
              <w:pStyle w:val="Default"/>
              <w:rPr>
                <w:color w:val="auto"/>
                <w:sz w:val="20"/>
                <w:szCs w:val="20"/>
              </w:rPr>
            </w:pPr>
          </w:p>
        </w:tc>
      </w:tr>
      <w:tr w:rsidR="000E3D1F" w:rsidRPr="00FF7A69" w14:paraId="7761DACD" w14:textId="77777777" w:rsidTr="00AC2522">
        <w:tc>
          <w:tcPr>
            <w:tcW w:w="3005" w:type="dxa"/>
          </w:tcPr>
          <w:p w14:paraId="0BB86674" w14:textId="15E03A17" w:rsidR="00FF7A69" w:rsidRPr="00FF7A69" w:rsidRDefault="00FF7A69" w:rsidP="000E3D1F">
            <w:pPr>
              <w:pStyle w:val="Default"/>
              <w:rPr>
                <w:color w:val="auto"/>
                <w:sz w:val="20"/>
                <w:szCs w:val="20"/>
              </w:rPr>
            </w:pPr>
            <w:r>
              <w:rPr>
                <w:color w:val="auto"/>
                <w:sz w:val="20"/>
                <w:szCs w:val="20"/>
              </w:rPr>
              <w:t>Addition of Level 3 qualification as Mandatory Qualification as required by employers (note: currently only F Gas is mandatory for apprenticeship</w:t>
            </w:r>
          </w:p>
        </w:tc>
        <w:tc>
          <w:tcPr>
            <w:tcW w:w="1243" w:type="dxa"/>
          </w:tcPr>
          <w:p w14:paraId="3C3F2304" w14:textId="23918F03" w:rsidR="000E3D1F" w:rsidRPr="00FF7A69" w:rsidRDefault="00FF7A69" w:rsidP="000E3D1F">
            <w:pPr>
              <w:pStyle w:val="Default"/>
              <w:rPr>
                <w:color w:val="auto"/>
                <w:sz w:val="20"/>
                <w:szCs w:val="20"/>
              </w:rPr>
            </w:pPr>
            <w:r>
              <w:rPr>
                <w:color w:val="auto"/>
                <w:sz w:val="20"/>
                <w:szCs w:val="20"/>
              </w:rPr>
              <w:t>ST page 4</w:t>
            </w:r>
          </w:p>
        </w:tc>
        <w:tc>
          <w:tcPr>
            <w:tcW w:w="5103" w:type="dxa"/>
          </w:tcPr>
          <w:p w14:paraId="5D2F371A" w14:textId="77777777" w:rsidR="000E3D1F" w:rsidRPr="00FF7A69" w:rsidRDefault="000E3D1F" w:rsidP="000E3D1F">
            <w:pPr>
              <w:pStyle w:val="Default"/>
              <w:rPr>
                <w:color w:val="auto"/>
                <w:sz w:val="20"/>
                <w:szCs w:val="20"/>
              </w:rPr>
            </w:pPr>
          </w:p>
        </w:tc>
      </w:tr>
      <w:tr w:rsidR="000E3D1F" w:rsidRPr="00FF7A69" w14:paraId="6B5DEF18" w14:textId="77777777" w:rsidTr="00AC2522">
        <w:tc>
          <w:tcPr>
            <w:tcW w:w="3005" w:type="dxa"/>
          </w:tcPr>
          <w:p w14:paraId="534EC0DB" w14:textId="5F60A640" w:rsidR="00FF7A69" w:rsidRDefault="00FF7A69" w:rsidP="00FF7A69">
            <w:pPr>
              <w:pStyle w:val="Default"/>
              <w:rPr>
                <w:sz w:val="20"/>
                <w:szCs w:val="20"/>
              </w:rPr>
            </w:pPr>
            <w:r>
              <w:rPr>
                <w:color w:val="auto"/>
                <w:sz w:val="20"/>
                <w:szCs w:val="20"/>
              </w:rPr>
              <w:t>Addition to Apprenticeship Grading “</w:t>
            </w:r>
            <w:r w:rsidRPr="00FF7A69">
              <w:rPr>
                <w:color w:val="auto"/>
                <w:sz w:val="20"/>
                <w:szCs w:val="20"/>
              </w:rPr>
              <w:t xml:space="preserve">The content of the evidence provided in the </w:t>
            </w:r>
            <w:r>
              <w:rPr>
                <w:color w:val="auto"/>
                <w:sz w:val="20"/>
                <w:szCs w:val="20"/>
              </w:rPr>
              <w:t xml:space="preserve">Journal </w:t>
            </w:r>
            <w:r w:rsidRPr="00FF7A69">
              <w:rPr>
                <w:color w:val="auto"/>
                <w:sz w:val="20"/>
                <w:szCs w:val="20"/>
              </w:rPr>
              <w:t>synopsis will be taken into account by the end point assessor conducting the Professional Interview and influence the grading of the question responses.</w:t>
            </w:r>
            <w:r>
              <w:rPr>
                <w:color w:val="auto"/>
                <w:sz w:val="20"/>
                <w:szCs w:val="20"/>
              </w:rPr>
              <w:t>” (note: previously the Synopsis was not assessed)</w:t>
            </w:r>
            <w:r w:rsidRPr="0009668A">
              <w:rPr>
                <w:sz w:val="20"/>
                <w:szCs w:val="20"/>
                <w:highlight w:val="yellow"/>
              </w:rPr>
              <w:t xml:space="preserve"> </w:t>
            </w:r>
          </w:p>
          <w:p w14:paraId="19D6C6E2" w14:textId="198FFE7E" w:rsidR="00F62746" w:rsidRDefault="00F62746" w:rsidP="00FF7A69">
            <w:pPr>
              <w:pStyle w:val="Default"/>
            </w:pPr>
            <w:r>
              <w:t>Addition of mandatory Level 3 qualification as a Gateway Requirement</w:t>
            </w:r>
          </w:p>
          <w:p w14:paraId="0013DC11" w14:textId="24ABD36C" w:rsidR="00FF7A69" w:rsidRPr="00FF7A69" w:rsidRDefault="00FF7A69" w:rsidP="000E3D1F">
            <w:pPr>
              <w:pStyle w:val="Default"/>
              <w:rPr>
                <w:color w:val="auto"/>
                <w:sz w:val="20"/>
                <w:szCs w:val="20"/>
              </w:rPr>
            </w:pPr>
          </w:p>
        </w:tc>
        <w:tc>
          <w:tcPr>
            <w:tcW w:w="1243" w:type="dxa"/>
          </w:tcPr>
          <w:p w14:paraId="2FCC751B" w14:textId="558740E1" w:rsidR="000E3D1F" w:rsidRDefault="00FF7A69" w:rsidP="000E3D1F">
            <w:pPr>
              <w:pStyle w:val="Default"/>
              <w:rPr>
                <w:color w:val="auto"/>
                <w:sz w:val="20"/>
                <w:szCs w:val="20"/>
              </w:rPr>
            </w:pPr>
            <w:r>
              <w:rPr>
                <w:color w:val="auto"/>
                <w:sz w:val="20"/>
                <w:szCs w:val="20"/>
              </w:rPr>
              <w:t>AP page2</w:t>
            </w:r>
          </w:p>
          <w:p w14:paraId="40D0CE35" w14:textId="25839242" w:rsidR="00F62746" w:rsidRDefault="00F62746" w:rsidP="000E3D1F">
            <w:pPr>
              <w:pStyle w:val="Default"/>
              <w:rPr>
                <w:color w:val="auto"/>
                <w:sz w:val="20"/>
                <w:szCs w:val="20"/>
              </w:rPr>
            </w:pPr>
          </w:p>
          <w:p w14:paraId="438EC0FF" w14:textId="2E134E77" w:rsidR="00F62746" w:rsidRDefault="00F62746" w:rsidP="000E3D1F">
            <w:pPr>
              <w:pStyle w:val="Default"/>
              <w:rPr>
                <w:color w:val="auto"/>
                <w:sz w:val="20"/>
                <w:szCs w:val="20"/>
              </w:rPr>
            </w:pPr>
            <w:r>
              <w:rPr>
                <w:color w:val="auto"/>
                <w:sz w:val="20"/>
                <w:szCs w:val="20"/>
              </w:rPr>
              <w:t>AP page 3</w:t>
            </w:r>
          </w:p>
          <w:p w14:paraId="342D62A3" w14:textId="77777777" w:rsidR="00F62746" w:rsidRDefault="00F62746" w:rsidP="000E3D1F">
            <w:pPr>
              <w:pStyle w:val="Default"/>
              <w:rPr>
                <w:color w:val="auto"/>
                <w:sz w:val="20"/>
                <w:szCs w:val="20"/>
              </w:rPr>
            </w:pPr>
          </w:p>
          <w:p w14:paraId="15D7F681" w14:textId="77777777" w:rsidR="00F62746" w:rsidRDefault="00F62746" w:rsidP="000E3D1F">
            <w:pPr>
              <w:pStyle w:val="Default"/>
              <w:rPr>
                <w:color w:val="auto"/>
                <w:sz w:val="20"/>
                <w:szCs w:val="20"/>
              </w:rPr>
            </w:pPr>
          </w:p>
          <w:p w14:paraId="5973D9C2" w14:textId="77777777" w:rsidR="00F62746" w:rsidRDefault="00F62746" w:rsidP="000E3D1F">
            <w:pPr>
              <w:pStyle w:val="Default"/>
              <w:rPr>
                <w:color w:val="auto"/>
                <w:sz w:val="20"/>
                <w:szCs w:val="20"/>
              </w:rPr>
            </w:pPr>
          </w:p>
          <w:p w14:paraId="5D15CBA1" w14:textId="77777777" w:rsidR="00F62746" w:rsidRDefault="00F62746" w:rsidP="000E3D1F">
            <w:pPr>
              <w:pStyle w:val="Default"/>
              <w:rPr>
                <w:color w:val="auto"/>
                <w:sz w:val="20"/>
                <w:szCs w:val="20"/>
              </w:rPr>
            </w:pPr>
          </w:p>
          <w:p w14:paraId="1A2BF453" w14:textId="77777777" w:rsidR="00F62746" w:rsidRDefault="00F62746" w:rsidP="000E3D1F">
            <w:pPr>
              <w:pStyle w:val="Default"/>
              <w:rPr>
                <w:color w:val="auto"/>
                <w:sz w:val="20"/>
                <w:szCs w:val="20"/>
              </w:rPr>
            </w:pPr>
          </w:p>
          <w:p w14:paraId="3A5E7A51" w14:textId="77777777" w:rsidR="00F62746" w:rsidRDefault="00F62746" w:rsidP="000E3D1F">
            <w:pPr>
              <w:pStyle w:val="Default"/>
              <w:rPr>
                <w:color w:val="auto"/>
                <w:sz w:val="20"/>
                <w:szCs w:val="20"/>
              </w:rPr>
            </w:pPr>
          </w:p>
          <w:p w14:paraId="14EE39BE" w14:textId="2348C947" w:rsidR="00F62746" w:rsidRPr="00FF7A69" w:rsidRDefault="00F62746" w:rsidP="000E3D1F">
            <w:pPr>
              <w:pStyle w:val="Default"/>
              <w:rPr>
                <w:color w:val="auto"/>
                <w:sz w:val="20"/>
                <w:szCs w:val="20"/>
              </w:rPr>
            </w:pPr>
          </w:p>
        </w:tc>
        <w:tc>
          <w:tcPr>
            <w:tcW w:w="5103" w:type="dxa"/>
          </w:tcPr>
          <w:p w14:paraId="1229DF08" w14:textId="77777777" w:rsidR="000E3D1F" w:rsidRPr="00FF7A69" w:rsidRDefault="000E3D1F" w:rsidP="000E3D1F">
            <w:pPr>
              <w:pStyle w:val="Default"/>
              <w:rPr>
                <w:color w:val="auto"/>
                <w:sz w:val="20"/>
                <w:szCs w:val="20"/>
              </w:rPr>
            </w:pPr>
          </w:p>
        </w:tc>
      </w:tr>
      <w:tr w:rsidR="000E3D1F" w:rsidRPr="00FF7A69" w14:paraId="1889A4E7" w14:textId="77777777" w:rsidTr="00AC2522">
        <w:tc>
          <w:tcPr>
            <w:tcW w:w="3005" w:type="dxa"/>
          </w:tcPr>
          <w:p w14:paraId="0DAA546A" w14:textId="2F166A26" w:rsidR="000E3D1F" w:rsidRPr="00FF7A69" w:rsidRDefault="00F62746" w:rsidP="000E3D1F">
            <w:pPr>
              <w:pStyle w:val="Default"/>
              <w:rPr>
                <w:color w:val="auto"/>
                <w:sz w:val="20"/>
                <w:szCs w:val="20"/>
              </w:rPr>
            </w:pPr>
            <w:r>
              <w:rPr>
                <w:color w:val="auto"/>
                <w:sz w:val="20"/>
                <w:szCs w:val="20"/>
              </w:rPr>
              <w:lastRenderedPageBreak/>
              <w:t>Addition of requirement for Level 3 qualification to be completed on-programme (note: previously not included in apprenticeship, now added as an employer requirement)</w:t>
            </w:r>
          </w:p>
        </w:tc>
        <w:tc>
          <w:tcPr>
            <w:tcW w:w="1243" w:type="dxa"/>
          </w:tcPr>
          <w:p w14:paraId="5A752F1D" w14:textId="30D7BC54" w:rsidR="000E3D1F" w:rsidRPr="00FF7A69" w:rsidRDefault="00F62746" w:rsidP="000E3D1F">
            <w:pPr>
              <w:pStyle w:val="Default"/>
              <w:rPr>
                <w:color w:val="auto"/>
                <w:sz w:val="20"/>
                <w:szCs w:val="20"/>
              </w:rPr>
            </w:pPr>
            <w:r>
              <w:rPr>
                <w:color w:val="auto"/>
                <w:sz w:val="20"/>
                <w:szCs w:val="20"/>
              </w:rPr>
              <w:t>AP page 2</w:t>
            </w:r>
          </w:p>
        </w:tc>
        <w:tc>
          <w:tcPr>
            <w:tcW w:w="5103" w:type="dxa"/>
          </w:tcPr>
          <w:p w14:paraId="5C9D45BF" w14:textId="77777777" w:rsidR="000E3D1F" w:rsidRPr="00FF7A69" w:rsidRDefault="000E3D1F" w:rsidP="000E3D1F">
            <w:pPr>
              <w:pStyle w:val="Default"/>
              <w:rPr>
                <w:color w:val="auto"/>
                <w:sz w:val="20"/>
                <w:szCs w:val="20"/>
              </w:rPr>
            </w:pPr>
          </w:p>
        </w:tc>
      </w:tr>
      <w:tr w:rsidR="000E3D1F" w:rsidRPr="00FF7A69" w14:paraId="0B29DD49" w14:textId="77777777" w:rsidTr="00AC2522">
        <w:tc>
          <w:tcPr>
            <w:tcW w:w="3005" w:type="dxa"/>
          </w:tcPr>
          <w:p w14:paraId="7387F6B3" w14:textId="499D0F62" w:rsidR="000E3D1F" w:rsidRPr="00FF7A69" w:rsidRDefault="00F62746" w:rsidP="000E3D1F">
            <w:pPr>
              <w:pStyle w:val="Default"/>
              <w:rPr>
                <w:color w:val="auto"/>
                <w:sz w:val="20"/>
                <w:szCs w:val="20"/>
              </w:rPr>
            </w:pPr>
            <w:r>
              <w:rPr>
                <w:color w:val="auto"/>
                <w:sz w:val="20"/>
                <w:szCs w:val="20"/>
              </w:rPr>
              <w:t>Addition of requirement for Independent End Point Assessor to verify Journal at gateway</w:t>
            </w:r>
          </w:p>
        </w:tc>
        <w:tc>
          <w:tcPr>
            <w:tcW w:w="1243" w:type="dxa"/>
          </w:tcPr>
          <w:p w14:paraId="4210277D" w14:textId="4FD03267" w:rsidR="000E3D1F" w:rsidRPr="00FF7A69" w:rsidRDefault="00F62746" w:rsidP="000E3D1F">
            <w:pPr>
              <w:pStyle w:val="Default"/>
              <w:rPr>
                <w:color w:val="auto"/>
                <w:sz w:val="20"/>
                <w:szCs w:val="20"/>
              </w:rPr>
            </w:pPr>
            <w:r>
              <w:rPr>
                <w:color w:val="auto"/>
                <w:sz w:val="20"/>
                <w:szCs w:val="20"/>
              </w:rPr>
              <w:t>AP page 3</w:t>
            </w:r>
          </w:p>
        </w:tc>
        <w:tc>
          <w:tcPr>
            <w:tcW w:w="5103" w:type="dxa"/>
          </w:tcPr>
          <w:p w14:paraId="00C7C6FF" w14:textId="77777777" w:rsidR="000E3D1F" w:rsidRPr="00FF7A69" w:rsidRDefault="000E3D1F" w:rsidP="000E3D1F">
            <w:pPr>
              <w:pStyle w:val="Default"/>
              <w:rPr>
                <w:color w:val="auto"/>
                <w:sz w:val="20"/>
                <w:szCs w:val="20"/>
              </w:rPr>
            </w:pPr>
          </w:p>
        </w:tc>
      </w:tr>
      <w:tr w:rsidR="00F62746" w:rsidRPr="00FF7A69" w14:paraId="5A4D7F89" w14:textId="77777777" w:rsidTr="00AC2522">
        <w:tc>
          <w:tcPr>
            <w:tcW w:w="3005" w:type="dxa"/>
          </w:tcPr>
          <w:p w14:paraId="03DC064E" w14:textId="74290C68" w:rsidR="00F62746" w:rsidRDefault="00F62746" w:rsidP="000E3D1F">
            <w:pPr>
              <w:pStyle w:val="Default"/>
              <w:rPr>
                <w:color w:val="auto"/>
                <w:sz w:val="20"/>
                <w:szCs w:val="20"/>
              </w:rPr>
            </w:pPr>
            <w:r>
              <w:rPr>
                <w:color w:val="auto"/>
                <w:sz w:val="20"/>
                <w:szCs w:val="20"/>
              </w:rPr>
              <w:t>Removal of grading of Merit for Knowledge test (note: proposal is that apprenticeship be graded pass/distinction only in future as grading boundaries merit/distinction not sufficiently different)</w:t>
            </w:r>
          </w:p>
        </w:tc>
        <w:tc>
          <w:tcPr>
            <w:tcW w:w="1243" w:type="dxa"/>
          </w:tcPr>
          <w:p w14:paraId="2AEAA0A6" w14:textId="2C9DBA26" w:rsidR="00F62746" w:rsidRDefault="00F62746" w:rsidP="000E3D1F">
            <w:pPr>
              <w:pStyle w:val="Default"/>
              <w:rPr>
                <w:color w:val="auto"/>
                <w:sz w:val="20"/>
                <w:szCs w:val="20"/>
              </w:rPr>
            </w:pPr>
            <w:r>
              <w:rPr>
                <w:color w:val="auto"/>
                <w:sz w:val="20"/>
                <w:szCs w:val="20"/>
              </w:rPr>
              <w:t>AP page 4</w:t>
            </w:r>
          </w:p>
        </w:tc>
        <w:tc>
          <w:tcPr>
            <w:tcW w:w="5103" w:type="dxa"/>
          </w:tcPr>
          <w:p w14:paraId="0621D0A2" w14:textId="77777777" w:rsidR="00F62746" w:rsidRPr="00FF7A69" w:rsidRDefault="00F62746" w:rsidP="000E3D1F">
            <w:pPr>
              <w:pStyle w:val="Default"/>
              <w:rPr>
                <w:color w:val="auto"/>
                <w:sz w:val="20"/>
                <w:szCs w:val="20"/>
              </w:rPr>
            </w:pPr>
          </w:p>
        </w:tc>
      </w:tr>
      <w:tr w:rsidR="00F62746" w:rsidRPr="00FF7A69" w14:paraId="195601D3" w14:textId="77777777" w:rsidTr="00AC2522">
        <w:tc>
          <w:tcPr>
            <w:tcW w:w="3005" w:type="dxa"/>
          </w:tcPr>
          <w:p w14:paraId="545B270B" w14:textId="744A6B49" w:rsidR="00F62746" w:rsidRDefault="00F62746" w:rsidP="000E3D1F">
            <w:pPr>
              <w:pStyle w:val="Default"/>
              <w:rPr>
                <w:color w:val="auto"/>
                <w:sz w:val="20"/>
                <w:szCs w:val="20"/>
              </w:rPr>
            </w:pPr>
            <w:r>
              <w:rPr>
                <w:color w:val="auto"/>
                <w:sz w:val="20"/>
                <w:szCs w:val="20"/>
              </w:rPr>
              <w:t>Removal of grading of Merit for Professional Interview</w:t>
            </w:r>
          </w:p>
        </w:tc>
        <w:tc>
          <w:tcPr>
            <w:tcW w:w="1243" w:type="dxa"/>
          </w:tcPr>
          <w:p w14:paraId="47F5B10E" w14:textId="521465F5" w:rsidR="00F62746" w:rsidRDefault="00F62746" w:rsidP="000E3D1F">
            <w:pPr>
              <w:pStyle w:val="Default"/>
              <w:rPr>
                <w:color w:val="auto"/>
                <w:sz w:val="20"/>
                <w:szCs w:val="20"/>
              </w:rPr>
            </w:pPr>
            <w:r>
              <w:rPr>
                <w:color w:val="auto"/>
                <w:sz w:val="20"/>
                <w:szCs w:val="20"/>
              </w:rPr>
              <w:t>AP page 6</w:t>
            </w:r>
          </w:p>
        </w:tc>
        <w:tc>
          <w:tcPr>
            <w:tcW w:w="5103" w:type="dxa"/>
          </w:tcPr>
          <w:p w14:paraId="37963AAE" w14:textId="77777777" w:rsidR="00F62746" w:rsidRPr="00FF7A69" w:rsidRDefault="00F62746" w:rsidP="000E3D1F">
            <w:pPr>
              <w:pStyle w:val="Default"/>
              <w:rPr>
                <w:color w:val="auto"/>
                <w:sz w:val="20"/>
                <w:szCs w:val="20"/>
              </w:rPr>
            </w:pPr>
          </w:p>
        </w:tc>
      </w:tr>
      <w:tr w:rsidR="00F62746" w:rsidRPr="00FF7A69" w14:paraId="5BF0928B" w14:textId="77777777" w:rsidTr="00AC2522">
        <w:tc>
          <w:tcPr>
            <w:tcW w:w="3005" w:type="dxa"/>
          </w:tcPr>
          <w:p w14:paraId="64DF6C3A" w14:textId="33E7D68C" w:rsidR="00F62746" w:rsidRDefault="00F62746" w:rsidP="000E3D1F">
            <w:pPr>
              <w:pStyle w:val="Default"/>
              <w:rPr>
                <w:color w:val="auto"/>
                <w:sz w:val="20"/>
                <w:szCs w:val="20"/>
              </w:rPr>
            </w:pPr>
            <w:r>
              <w:rPr>
                <w:color w:val="auto"/>
                <w:sz w:val="20"/>
                <w:szCs w:val="20"/>
              </w:rPr>
              <w:t>Removal of capping of grading of final Apprenticeship if candidate retakes/resits exams (note: previously any retake candidate would be awarded a maximum of Pass grade)</w:t>
            </w:r>
          </w:p>
        </w:tc>
        <w:tc>
          <w:tcPr>
            <w:tcW w:w="1243" w:type="dxa"/>
          </w:tcPr>
          <w:p w14:paraId="6A47D78B" w14:textId="309DF1CD" w:rsidR="00F62746" w:rsidRDefault="00F62746" w:rsidP="000E3D1F">
            <w:pPr>
              <w:pStyle w:val="Default"/>
              <w:rPr>
                <w:color w:val="auto"/>
                <w:sz w:val="20"/>
                <w:szCs w:val="20"/>
              </w:rPr>
            </w:pPr>
            <w:r>
              <w:rPr>
                <w:color w:val="auto"/>
                <w:sz w:val="20"/>
                <w:szCs w:val="20"/>
              </w:rPr>
              <w:t>AP page 7</w:t>
            </w:r>
          </w:p>
        </w:tc>
        <w:tc>
          <w:tcPr>
            <w:tcW w:w="5103" w:type="dxa"/>
          </w:tcPr>
          <w:p w14:paraId="6124CD9B" w14:textId="77777777" w:rsidR="00F62746" w:rsidRPr="00FF7A69" w:rsidRDefault="00F62746" w:rsidP="000E3D1F">
            <w:pPr>
              <w:pStyle w:val="Default"/>
              <w:rPr>
                <w:color w:val="auto"/>
                <w:sz w:val="20"/>
                <w:szCs w:val="20"/>
              </w:rPr>
            </w:pPr>
          </w:p>
        </w:tc>
      </w:tr>
      <w:tr w:rsidR="00F62746" w:rsidRPr="00FF7A69" w14:paraId="62674B78" w14:textId="77777777" w:rsidTr="00AC2522">
        <w:tc>
          <w:tcPr>
            <w:tcW w:w="3005" w:type="dxa"/>
          </w:tcPr>
          <w:p w14:paraId="351BDAE8" w14:textId="35B290D7" w:rsidR="00F62746" w:rsidRDefault="00F62746" w:rsidP="000E3D1F">
            <w:pPr>
              <w:pStyle w:val="Default"/>
              <w:rPr>
                <w:color w:val="auto"/>
                <w:sz w:val="20"/>
                <w:szCs w:val="20"/>
              </w:rPr>
            </w:pPr>
            <w:r>
              <w:rPr>
                <w:color w:val="auto"/>
                <w:sz w:val="20"/>
                <w:szCs w:val="20"/>
              </w:rPr>
              <w:t>Clarification of wording to show that candidates can retake/resit “within” the specified time frame not as a minimum gap</w:t>
            </w:r>
          </w:p>
        </w:tc>
        <w:tc>
          <w:tcPr>
            <w:tcW w:w="1243" w:type="dxa"/>
          </w:tcPr>
          <w:p w14:paraId="08A9BED1" w14:textId="7F0CEB86" w:rsidR="00F62746" w:rsidRDefault="00F62746" w:rsidP="000E3D1F">
            <w:pPr>
              <w:pStyle w:val="Default"/>
              <w:rPr>
                <w:color w:val="auto"/>
                <w:sz w:val="20"/>
                <w:szCs w:val="20"/>
              </w:rPr>
            </w:pPr>
            <w:r>
              <w:rPr>
                <w:color w:val="auto"/>
                <w:sz w:val="20"/>
                <w:szCs w:val="20"/>
              </w:rPr>
              <w:t>AP page 6</w:t>
            </w:r>
          </w:p>
        </w:tc>
        <w:tc>
          <w:tcPr>
            <w:tcW w:w="5103" w:type="dxa"/>
          </w:tcPr>
          <w:p w14:paraId="730A04CE" w14:textId="77777777" w:rsidR="00F62746" w:rsidRPr="00FF7A69" w:rsidRDefault="00F62746" w:rsidP="000E3D1F">
            <w:pPr>
              <w:pStyle w:val="Default"/>
              <w:rPr>
                <w:color w:val="auto"/>
                <w:sz w:val="20"/>
                <w:szCs w:val="20"/>
              </w:rPr>
            </w:pPr>
          </w:p>
        </w:tc>
      </w:tr>
      <w:tr w:rsidR="00F62746" w:rsidRPr="00FF7A69" w14:paraId="41F3A591" w14:textId="77777777" w:rsidTr="00AC2522">
        <w:tc>
          <w:tcPr>
            <w:tcW w:w="3005" w:type="dxa"/>
          </w:tcPr>
          <w:p w14:paraId="7B6221CC" w14:textId="5EF7CEBC" w:rsidR="00F62746" w:rsidRDefault="00F62746" w:rsidP="000E3D1F">
            <w:pPr>
              <w:pStyle w:val="Default"/>
              <w:rPr>
                <w:color w:val="auto"/>
                <w:sz w:val="20"/>
                <w:szCs w:val="20"/>
              </w:rPr>
            </w:pPr>
            <w:r>
              <w:rPr>
                <w:color w:val="auto"/>
                <w:sz w:val="20"/>
                <w:szCs w:val="20"/>
              </w:rPr>
              <w:t>Minor wording change</w:t>
            </w:r>
            <w:r w:rsidR="00084B6E">
              <w:rPr>
                <w:color w:val="auto"/>
                <w:sz w:val="20"/>
                <w:szCs w:val="20"/>
              </w:rPr>
              <w:t xml:space="preserve"> and additional text</w:t>
            </w:r>
            <w:r>
              <w:rPr>
                <w:color w:val="auto"/>
                <w:sz w:val="20"/>
                <w:szCs w:val="20"/>
              </w:rPr>
              <w:t xml:space="preserve"> to clarify requirements of Practical Assessment.</w:t>
            </w:r>
          </w:p>
        </w:tc>
        <w:tc>
          <w:tcPr>
            <w:tcW w:w="1243" w:type="dxa"/>
          </w:tcPr>
          <w:p w14:paraId="7EB787D1" w14:textId="7CA84B1D" w:rsidR="00F62746" w:rsidRDefault="00F62746" w:rsidP="000E3D1F">
            <w:pPr>
              <w:pStyle w:val="Default"/>
              <w:rPr>
                <w:color w:val="auto"/>
                <w:sz w:val="20"/>
                <w:szCs w:val="20"/>
              </w:rPr>
            </w:pPr>
            <w:r>
              <w:rPr>
                <w:color w:val="auto"/>
                <w:sz w:val="20"/>
                <w:szCs w:val="20"/>
              </w:rPr>
              <w:t>AP page 16</w:t>
            </w:r>
          </w:p>
        </w:tc>
        <w:tc>
          <w:tcPr>
            <w:tcW w:w="5103" w:type="dxa"/>
          </w:tcPr>
          <w:p w14:paraId="61E24EBD" w14:textId="77777777" w:rsidR="00F62746" w:rsidRPr="00FF7A69" w:rsidRDefault="00F62746" w:rsidP="000E3D1F">
            <w:pPr>
              <w:pStyle w:val="Default"/>
              <w:rPr>
                <w:color w:val="auto"/>
                <w:sz w:val="20"/>
                <w:szCs w:val="20"/>
              </w:rPr>
            </w:pPr>
          </w:p>
        </w:tc>
      </w:tr>
      <w:tr w:rsidR="00F62746" w:rsidRPr="00FF7A69" w14:paraId="06621DCF" w14:textId="77777777" w:rsidTr="00AC2522">
        <w:tc>
          <w:tcPr>
            <w:tcW w:w="3005" w:type="dxa"/>
          </w:tcPr>
          <w:p w14:paraId="495DCBAE" w14:textId="6C111006" w:rsidR="00F62746" w:rsidRDefault="00AC2522" w:rsidP="000E3D1F">
            <w:pPr>
              <w:pStyle w:val="Default"/>
              <w:rPr>
                <w:color w:val="auto"/>
                <w:sz w:val="20"/>
                <w:szCs w:val="20"/>
              </w:rPr>
            </w:pPr>
            <w:r>
              <w:rPr>
                <w:color w:val="auto"/>
                <w:sz w:val="20"/>
                <w:szCs w:val="20"/>
              </w:rPr>
              <w:t>Minor reorganisation of list of equipment required for Practical Assessment</w:t>
            </w:r>
          </w:p>
        </w:tc>
        <w:tc>
          <w:tcPr>
            <w:tcW w:w="1243" w:type="dxa"/>
          </w:tcPr>
          <w:p w14:paraId="2E5BB318" w14:textId="49C11833" w:rsidR="00F62746" w:rsidRDefault="00AC2522" w:rsidP="000E3D1F">
            <w:pPr>
              <w:pStyle w:val="Default"/>
              <w:rPr>
                <w:color w:val="auto"/>
                <w:sz w:val="20"/>
                <w:szCs w:val="20"/>
              </w:rPr>
            </w:pPr>
            <w:r>
              <w:rPr>
                <w:color w:val="auto"/>
                <w:sz w:val="20"/>
                <w:szCs w:val="20"/>
              </w:rPr>
              <w:t>AP page 17/18</w:t>
            </w:r>
          </w:p>
        </w:tc>
        <w:tc>
          <w:tcPr>
            <w:tcW w:w="5103" w:type="dxa"/>
          </w:tcPr>
          <w:p w14:paraId="0EF2743E" w14:textId="77777777" w:rsidR="00F62746" w:rsidRPr="00FF7A69" w:rsidRDefault="00F62746" w:rsidP="000E3D1F">
            <w:pPr>
              <w:pStyle w:val="Default"/>
              <w:rPr>
                <w:color w:val="auto"/>
                <w:sz w:val="20"/>
                <w:szCs w:val="20"/>
              </w:rPr>
            </w:pPr>
          </w:p>
        </w:tc>
      </w:tr>
      <w:tr w:rsidR="00AC2522" w:rsidRPr="00FF7A69" w14:paraId="5193CE49" w14:textId="77777777" w:rsidTr="00AC2522">
        <w:tc>
          <w:tcPr>
            <w:tcW w:w="3005" w:type="dxa"/>
          </w:tcPr>
          <w:p w14:paraId="3F321972" w14:textId="7E7762BB" w:rsidR="00AC2522" w:rsidRDefault="00AC2522" w:rsidP="000E3D1F">
            <w:pPr>
              <w:pStyle w:val="Default"/>
              <w:rPr>
                <w:color w:val="auto"/>
                <w:sz w:val="20"/>
                <w:szCs w:val="20"/>
              </w:rPr>
            </w:pPr>
            <w:r>
              <w:rPr>
                <w:color w:val="auto"/>
                <w:sz w:val="20"/>
                <w:szCs w:val="20"/>
              </w:rPr>
              <w:t>Interview grading –  change to specify that evidence can be drawn from min of 3 and max of 5 projects (note: was previously up to 5 projects)</w:t>
            </w:r>
          </w:p>
        </w:tc>
        <w:tc>
          <w:tcPr>
            <w:tcW w:w="1243" w:type="dxa"/>
          </w:tcPr>
          <w:p w14:paraId="0007060E" w14:textId="4F671ADC" w:rsidR="00AC2522" w:rsidRDefault="00AC2522" w:rsidP="000E3D1F">
            <w:pPr>
              <w:pStyle w:val="Default"/>
              <w:rPr>
                <w:color w:val="auto"/>
                <w:sz w:val="20"/>
                <w:szCs w:val="20"/>
              </w:rPr>
            </w:pPr>
            <w:r>
              <w:rPr>
                <w:color w:val="auto"/>
                <w:sz w:val="20"/>
                <w:szCs w:val="20"/>
              </w:rPr>
              <w:t>AP page 20</w:t>
            </w:r>
          </w:p>
        </w:tc>
        <w:tc>
          <w:tcPr>
            <w:tcW w:w="5103" w:type="dxa"/>
          </w:tcPr>
          <w:p w14:paraId="2880002F" w14:textId="77777777" w:rsidR="00AC2522" w:rsidRPr="00FF7A69" w:rsidRDefault="00AC2522" w:rsidP="000E3D1F">
            <w:pPr>
              <w:pStyle w:val="Default"/>
              <w:rPr>
                <w:color w:val="auto"/>
                <w:sz w:val="20"/>
                <w:szCs w:val="20"/>
              </w:rPr>
            </w:pPr>
          </w:p>
        </w:tc>
      </w:tr>
      <w:tr w:rsidR="00AC2522" w:rsidRPr="00FF7A69" w14:paraId="23A8281B" w14:textId="77777777" w:rsidTr="00AC2522">
        <w:tc>
          <w:tcPr>
            <w:tcW w:w="3005" w:type="dxa"/>
          </w:tcPr>
          <w:p w14:paraId="30F74C5F" w14:textId="117C5FDE" w:rsidR="00AC2522" w:rsidRDefault="00AC2522" w:rsidP="000E3D1F">
            <w:pPr>
              <w:pStyle w:val="Default"/>
              <w:rPr>
                <w:color w:val="auto"/>
                <w:sz w:val="20"/>
                <w:szCs w:val="20"/>
              </w:rPr>
            </w:pPr>
            <w:r>
              <w:rPr>
                <w:color w:val="auto"/>
                <w:sz w:val="20"/>
                <w:szCs w:val="20"/>
              </w:rPr>
              <w:t>Interview grading – other changes consistent with Assessor taking into account Journal content and removal of merit grade (see above)</w:t>
            </w:r>
          </w:p>
        </w:tc>
        <w:tc>
          <w:tcPr>
            <w:tcW w:w="1243" w:type="dxa"/>
          </w:tcPr>
          <w:p w14:paraId="1A39B773" w14:textId="3AE323B4" w:rsidR="00AC2522" w:rsidRDefault="00AC2522" w:rsidP="000E3D1F">
            <w:pPr>
              <w:pStyle w:val="Default"/>
              <w:rPr>
                <w:color w:val="auto"/>
                <w:sz w:val="20"/>
                <w:szCs w:val="20"/>
              </w:rPr>
            </w:pPr>
            <w:r>
              <w:rPr>
                <w:color w:val="auto"/>
                <w:sz w:val="20"/>
                <w:szCs w:val="20"/>
              </w:rPr>
              <w:t>AP page 20</w:t>
            </w:r>
          </w:p>
        </w:tc>
        <w:tc>
          <w:tcPr>
            <w:tcW w:w="5103" w:type="dxa"/>
          </w:tcPr>
          <w:p w14:paraId="333F6F93" w14:textId="77777777" w:rsidR="00AC2522" w:rsidRPr="00FF7A69" w:rsidRDefault="00AC2522" w:rsidP="000E3D1F">
            <w:pPr>
              <w:pStyle w:val="Default"/>
              <w:rPr>
                <w:color w:val="auto"/>
                <w:sz w:val="20"/>
                <w:szCs w:val="20"/>
              </w:rPr>
            </w:pPr>
          </w:p>
        </w:tc>
      </w:tr>
      <w:tr w:rsidR="00AC2522" w:rsidRPr="00FF7A69" w14:paraId="53FB0DA3" w14:textId="77777777" w:rsidTr="00AC2522">
        <w:tc>
          <w:tcPr>
            <w:tcW w:w="3005" w:type="dxa"/>
          </w:tcPr>
          <w:p w14:paraId="079C5B0F" w14:textId="5DB50948" w:rsidR="00AC2522" w:rsidRDefault="00AC2522" w:rsidP="000E3D1F">
            <w:pPr>
              <w:pStyle w:val="Default"/>
              <w:rPr>
                <w:color w:val="auto"/>
                <w:sz w:val="20"/>
                <w:szCs w:val="20"/>
              </w:rPr>
            </w:pPr>
            <w:r>
              <w:rPr>
                <w:color w:val="auto"/>
                <w:sz w:val="20"/>
                <w:szCs w:val="20"/>
              </w:rPr>
              <w:t>Guidance on Journal Synopsis – changing of text to clarify requirements for amount of evidence required by task/job</w:t>
            </w:r>
          </w:p>
        </w:tc>
        <w:tc>
          <w:tcPr>
            <w:tcW w:w="1243" w:type="dxa"/>
          </w:tcPr>
          <w:p w14:paraId="145DF93C" w14:textId="153BC617" w:rsidR="00AC2522" w:rsidRDefault="00AC2522" w:rsidP="000E3D1F">
            <w:pPr>
              <w:pStyle w:val="Default"/>
              <w:rPr>
                <w:color w:val="auto"/>
                <w:sz w:val="20"/>
                <w:szCs w:val="20"/>
              </w:rPr>
            </w:pPr>
            <w:r>
              <w:rPr>
                <w:color w:val="auto"/>
                <w:sz w:val="20"/>
                <w:szCs w:val="20"/>
              </w:rPr>
              <w:t>AP page 24</w:t>
            </w:r>
          </w:p>
        </w:tc>
        <w:tc>
          <w:tcPr>
            <w:tcW w:w="5103" w:type="dxa"/>
          </w:tcPr>
          <w:p w14:paraId="742F41C5" w14:textId="77777777" w:rsidR="00AC2522" w:rsidRPr="00FF7A69" w:rsidRDefault="00AC2522" w:rsidP="000E3D1F">
            <w:pPr>
              <w:pStyle w:val="Default"/>
              <w:rPr>
                <w:color w:val="auto"/>
                <w:sz w:val="20"/>
                <w:szCs w:val="20"/>
              </w:rPr>
            </w:pPr>
          </w:p>
        </w:tc>
      </w:tr>
      <w:tr w:rsidR="00AC2522" w:rsidRPr="00FF7A69" w14:paraId="5E64FDDD" w14:textId="77777777" w:rsidTr="00AC2522">
        <w:tc>
          <w:tcPr>
            <w:tcW w:w="3005" w:type="dxa"/>
          </w:tcPr>
          <w:p w14:paraId="6171F003" w14:textId="700C76BE" w:rsidR="00AC2522" w:rsidRDefault="00AC2522" w:rsidP="000E3D1F">
            <w:pPr>
              <w:pStyle w:val="Default"/>
              <w:rPr>
                <w:color w:val="auto"/>
                <w:sz w:val="20"/>
                <w:szCs w:val="20"/>
              </w:rPr>
            </w:pPr>
            <w:r>
              <w:rPr>
                <w:color w:val="auto"/>
                <w:sz w:val="20"/>
                <w:szCs w:val="20"/>
              </w:rPr>
              <w:t>Addition of note to clarify that certain tasks may be evidenced in the Synopsis from component change and not necessarily a complete new system installation.</w:t>
            </w:r>
          </w:p>
        </w:tc>
        <w:tc>
          <w:tcPr>
            <w:tcW w:w="1243" w:type="dxa"/>
          </w:tcPr>
          <w:p w14:paraId="6B1183BF" w14:textId="6DF07787" w:rsidR="00AC2522" w:rsidRDefault="00AC2522" w:rsidP="000E3D1F">
            <w:pPr>
              <w:pStyle w:val="Default"/>
              <w:rPr>
                <w:color w:val="auto"/>
                <w:sz w:val="20"/>
                <w:szCs w:val="20"/>
              </w:rPr>
            </w:pPr>
            <w:r>
              <w:rPr>
                <w:color w:val="auto"/>
                <w:sz w:val="20"/>
                <w:szCs w:val="20"/>
              </w:rPr>
              <w:t>AP page 24</w:t>
            </w:r>
          </w:p>
        </w:tc>
        <w:tc>
          <w:tcPr>
            <w:tcW w:w="5103" w:type="dxa"/>
          </w:tcPr>
          <w:p w14:paraId="19F81C5E" w14:textId="77777777" w:rsidR="00AC2522" w:rsidRPr="00FF7A69" w:rsidRDefault="00AC2522" w:rsidP="000E3D1F">
            <w:pPr>
              <w:pStyle w:val="Default"/>
              <w:rPr>
                <w:color w:val="auto"/>
                <w:sz w:val="20"/>
                <w:szCs w:val="20"/>
              </w:rPr>
            </w:pPr>
          </w:p>
        </w:tc>
      </w:tr>
      <w:tr w:rsidR="00AC2522" w:rsidRPr="00FF7A69" w14:paraId="1D4E58A9" w14:textId="77777777" w:rsidTr="00AC2522">
        <w:tc>
          <w:tcPr>
            <w:tcW w:w="3005" w:type="dxa"/>
          </w:tcPr>
          <w:p w14:paraId="087B8F7D" w14:textId="2A936D2B" w:rsidR="00AC2522" w:rsidRDefault="00AC2522" w:rsidP="00AC2522">
            <w:pPr>
              <w:pStyle w:val="Default"/>
              <w:rPr>
                <w:color w:val="auto"/>
                <w:sz w:val="20"/>
                <w:szCs w:val="20"/>
              </w:rPr>
            </w:pPr>
            <w:r>
              <w:rPr>
                <w:color w:val="auto"/>
                <w:sz w:val="20"/>
                <w:szCs w:val="20"/>
              </w:rPr>
              <w:t xml:space="preserve">Addition of note to clarify that certain tasks may be evidenced in </w:t>
            </w:r>
            <w:r>
              <w:rPr>
                <w:color w:val="auto"/>
                <w:sz w:val="20"/>
                <w:szCs w:val="20"/>
              </w:rPr>
              <w:lastRenderedPageBreak/>
              <w:t>the Journal from component change and not necessarily a complete new system installation.</w:t>
            </w:r>
          </w:p>
        </w:tc>
        <w:tc>
          <w:tcPr>
            <w:tcW w:w="1243" w:type="dxa"/>
          </w:tcPr>
          <w:p w14:paraId="073C6FE7" w14:textId="73EB9783" w:rsidR="00AC2522" w:rsidRDefault="00AC2522" w:rsidP="00AC2522">
            <w:pPr>
              <w:pStyle w:val="Default"/>
              <w:rPr>
                <w:color w:val="auto"/>
                <w:sz w:val="20"/>
                <w:szCs w:val="20"/>
              </w:rPr>
            </w:pPr>
            <w:r>
              <w:rPr>
                <w:color w:val="auto"/>
                <w:sz w:val="20"/>
                <w:szCs w:val="20"/>
              </w:rPr>
              <w:lastRenderedPageBreak/>
              <w:t>AP page 25</w:t>
            </w:r>
          </w:p>
        </w:tc>
        <w:tc>
          <w:tcPr>
            <w:tcW w:w="5103" w:type="dxa"/>
          </w:tcPr>
          <w:p w14:paraId="349D9AF4" w14:textId="77777777" w:rsidR="00AC2522" w:rsidRPr="00FF7A69" w:rsidRDefault="00AC2522" w:rsidP="00AC2522">
            <w:pPr>
              <w:pStyle w:val="Default"/>
              <w:rPr>
                <w:color w:val="auto"/>
                <w:sz w:val="20"/>
                <w:szCs w:val="20"/>
              </w:rPr>
            </w:pPr>
          </w:p>
        </w:tc>
      </w:tr>
    </w:tbl>
    <w:p w14:paraId="23226894" w14:textId="394D23DE" w:rsidR="000E3D1F" w:rsidRDefault="000E3D1F" w:rsidP="000E3D1F">
      <w:pPr>
        <w:pStyle w:val="Default"/>
        <w:rPr>
          <w:color w:val="auto"/>
        </w:rPr>
      </w:pPr>
    </w:p>
    <w:p w14:paraId="5F65C6BA" w14:textId="797A32FC" w:rsidR="000E3D1F" w:rsidRPr="000E3D1F" w:rsidRDefault="000E3D1F" w:rsidP="000E3D1F">
      <w:pPr>
        <w:pStyle w:val="Default"/>
        <w:rPr>
          <w:b/>
          <w:bCs/>
          <w:color w:val="auto"/>
        </w:rPr>
      </w:pPr>
      <w:r w:rsidRPr="000E3D1F">
        <w:rPr>
          <w:b/>
          <w:bCs/>
          <w:color w:val="auto"/>
        </w:rPr>
        <w:t>Section 3: Additional comments</w:t>
      </w:r>
    </w:p>
    <w:tbl>
      <w:tblPr>
        <w:tblStyle w:val="TableGrid"/>
        <w:tblW w:w="9351" w:type="dxa"/>
        <w:tblLook w:val="04A0" w:firstRow="1" w:lastRow="0" w:firstColumn="1" w:lastColumn="0" w:noHBand="0" w:noVBand="1"/>
      </w:tblPr>
      <w:tblGrid>
        <w:gridCol w:w="9351"/>
      </w:tblGrid>
      <w:tr w:rsidR="000E3D1F" w14:paraId="5BD272AE" w14:textId="77777777" w:rsidTr="00AC2522">
        <w:tc>
          <w:tcPr>
            <w:tcW w:w="9351" w:type="dxa"/>
          </w:tcPr>
          <w:p w14:paraId="4BE0AE7D" w14:textId="77777777" w:rsidR="000E3D1F" w:rsidRDefault="000E3D1F" w:rsidP="000E3D1F">
            <w:pPr>
              <w:pStyle w:val="Default"/>
              <w:rPr>
                <w:color w:val="auto"/>
              </w:rPr>
            </w:pPr>
          </w:p>
          <w:p w14:paraId="6B136D5A" w14:textId="77777777" w:rsidR="000E3D1F" w:rsidRDefault="000E3D1F" w:rsidP="000E3D1F">
            <w:pPr>
              <w:pStyle w:val="Default"/>
              <w:rPr>
                <w:color w:val="auto"/>
              </w:rPr>
            </w:pPr>
          </w:p>
          <w:p w14:paraId="7C8D8273" w14:textId="0592C81B" w:rsidR="000E3D1F" w:rsidRDefault="000E3D1F" w:rsidP="000E3D1F">
            <w:pPr>
              <w:pStyle w:val="Default"/>
              <w:rPr>
                <w:color w:val="auto"/>
              </w:rPr>
            </w:pPr>
          </w:p>
        </w:tc>
      </w:tr>
    </w:tbl>
    <w:p w14:paraId="6002D938" w14:textId="77777777" w:rsidR="000E3D1F" w:rsidRPr="000E3D1F" w:rsidRDefault="000E3D1F" w:rsidP="000E3D1F">
      <w:pPr>
        <w:pStyle w:val="Default"/>
        <w:rPr>
          <w:color w:val="auto"/>
        </w:rPr>
      </w:pPr>
    </w:p>
    <w:p w14:paraId="183B4552" w14:textId="322B118D" w:rsidR="005D1A7C" w:rsidRDefault="006B13D9"/>
    <w:sectPr w:rsidR="005D1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1F"/>
    <w:rsid w:val="00084B6E"/>
    <w:rsid w:val="000E3D1F"/>
    <w:rsid w:val="006B13D9"/>
    <w:rsid w:val="008D43DD"/>
    <w:rsid w:val="00A06A01"/>
    <w:rsid w:val="00AC2522"/>
    <w:rsid w:val="00F62746"/>
    <w:rsid w:val="00FF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6623"/>
  <w15:chartTrackingRefBased/>
  <w15:docId w15:val="{3139803A-64A7-46A1-AD03-DB18CA7F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1F"/>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D1F"/>
    <w:pPr>
      <w:autoSpaceDE w:val="0"/>
      <w:autoSpaceDN w:val="0"/>
      <w:adjustRightInd w:val="0"/>
      <w:spacing w:after="0" w:line="240" w:lineRule="auto"/>
    </w:pPr>
    <w:rPr>
      <w:rFonts w:ascii="Calibri" w:eastAsia="Arial" w:hAnsi="Calibri" w:cs="Calibri"/>
      <w:color w:val="000000"/>
      <w:sz w:val="24"/>
      <w:szCs w:val="24"/>
      <w:lang w:eastAsia="en-GB"/>
    </w:rPr>
  </w:style>
  <w:style w:type="character" w:styleId="Hyperlink">
    <w:name w:val="Hyperlink"/>
    <w:basedOn w:val="DefaultParagraphFont"/>
    <w:uiPriority w:val="99"/>
    <w:unhideWhenUsed/>
    <w:rsid w:val="000E3D1F"/>
    <w:rPr>
      <w:color w:val="0563C1" w:themeColor="hyperlink"/>
      <w:u w:val="single"/>
    </w:rPr>
  </w:style>
  <w:style w:type="character" w:styleId="UnresolvedMention">
    <w:name w:val="Unresolved Mention"/>
    <w:basedOn w:val="DefaultParagraphFont"/>
    <w:uiPriority w:val="99"/>
    <w:semiHidden/>
    <w:unhideWhenUsed/>
    <w:rsid w:val="000E3D1F"/>
    <w:rPr>
      <w:color w:val="605E5C"/>
      <w:shd w:val="clear" w:color="auto" w:fill="E1DFDD"/>
    </w:rPr>
  </w:style>
  <w:style w:type="table" w:styleId="TableGrid">
    <w:name w:val="Table Grid"/>
    <w:basedOn w:val="TableNormal"/>
    <w:uiPriority w:val="39"/>
    <w:rsid w:val="000E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riam@ior.org.uk" TargetMode="External"/><Relationship Id="rId4" Type="http://schemas.openxmlformats.org/officeDocument/2006/relationships/hyperlink" Target="http://www.ior.org.uk/apprenticeshi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Rodway</dc:creator>
  <cp:keywords/>
  <dc:description/>
  <cp:lastModifiedBy>Miriam Rodway</cp:lastModifiedBy>
  <cp:revision>4</cp:revision>
  <dcterms:created xsi:type="dcterms:W3CDTF">2021-10-29T11:41:00Z</dcterms:created>
  <dcterms:modified xsi:type="dcterms:W3CDTF">2021-10-29T15:23:00Z</dcterms:modified>
</cp:coreProperties>
</file>